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00" w:afterAutospacing="1" w:line="540" w:lineRule="exact"/>
        <w:ind w:firstLine="5120" w:firstLineChars="1600"/>
        <w:jc w:val="left"/>
        <w:rPr>
          <w:rFonts w:ascii="Times New Roman" w:hAnsi="Times New Roman" w:eastAsia="黑体"/>
          <w:sz w:val="32"/>
          <w:szCs w:val="36"/>
        </w:rPr>
      </w:pPr>
      <w:r>
        <w:rPr>
          <w:rFonts w:hint="eastAsia" w:ascii="Times New Roman" w:hAnsi="Times New Roman" w:eastAsia="黑体"/>
          <w:sz w:val="32"/>
          <w:szCs w:val="36"/>
          <w:lang w:eastAsia="zh-TW"/>
        </w:rPr>
        <w:t>附件</w:t>
      </w:r>
      <w:r>
        <w:rPr>
          <w:rFonts w:ascii="Times New Roman" w:hAnsi="Times New Roman" w:eastAsia="黑体"/>
          <w:sz w:val="32"/>
          <w:szCs w:val="36"/>
        </w:rPr>
        <w:t>1</w:t>
      </w:r>
    </w:p>
    <w:p>
      <w:pPr>
        <w:spacing w:before="100" w:beforeAutospacing="1" w:after="100" w:afterAutospacing="1" w:line="580" w:lineRule="exact"/>
        <w:jc w:val="center"/>
        <w:rPr>
          <w:rFonts w:eastAsia="方正小标宋简体"/>
          <w:b/>
          <w:spacing w:val="-4"/>
          <w:sz w:val="44"/>
          <w:szCs w:val="44"/>
        </w:rPr>
      </w:pPr>
      <w:r>
        <w:rPr>
          <w:rFonts w:hint="eastAsia" w:eastAsia="方正小标宋简体"/>
          <w:b/>
          <w:spacing w:val="-4"/>
          <w:sz w:val="44"/>
          <w:szCs w:val="44"/>
        </w:rPr>
        <w:t>全国高校院系级党组织书记网络培训示范班实施方案</w:t>
      </w:r>
    </w:p>
    <w:p>
      <w:pPr>
        <w:spacing w:line="600" w:lineRule="exact"/>
        <w:ind w:firstLine="600" w:firstLineChars="200"/>
        <w:jc w:val="left"/>
        <w:rPr>
          <w:rFonts w:hint="eastAsia" w:ascii="Times New Roman" w:hAnsi="Times New Roman" w:eastAsia="黑体"/>
          <w:kern w:val="0"/>
          <w:sz w:val="30"/>
          <w:szCs w:val="30"/>
        </w:rPr>
      </w:pPr>
      <w:r>
        <w:rPr>
          <w:rFonts w:hint="eastAsia" w:ascii="Times New Roman" w:hAnsi="Times New Roman" w:eastAsia="黑体"/>
          <w:kern w:val="0"/>
          <w:sz w:val="30"/>
          <w:szCs w:val="30"/>
        </w:rPr>
        <w:t>一、培训时间与安排</w:t>
      </w:r>
    </w:p>
    <w:p>
      <w:pPr>
        <w:pStyle w:val="4"/>
        <w:tabs>
          <w:tab w:val="left" w:pos="3119"/>
        </w:tabs>
        <w:spacing w:after="156" w:afterLines="50" w:line="560" w:lineRule="exact"/>
        <w:ind w:firstLine="601"/>
        <w:rPr>
          <w:rFonts w:hint="eastAsia" w:eastAsia="仿宋_GB2312" w:cs="Times New Roman"/>
          <w:color w:val="auto"/>
          <w:sz w:val="30"/>
          <w:szCs w:val="30"/>
        </w:rPr>
      </w:pPr>
      <w:r>
        <w:rPr>
          <w:rFonts w:hint="eastAsia" w:eastAsia="仿宋_GB2312" w:cs="Times New Roman"/>
          <w:color w:val="auto"/>
          <w:sz w:val="30"/>
          <w:szCs w:val="30"/>
        </w:rPr>
        <w:t>本次培训时间为2019年</w:t>
      </w:r>
      <w:r>
        <w:rPr>
          <w:rFonts w:eastAsia="仿宋_GB2312" w:cs="Times New Roman"/>
          <w:color w:val="auto"/>
          <w:sz w:val="30"/>
          <w:szCs w:val="30"/>
        </w:rPr>
        <w:t>10</w:t>
      </w:r>
      <w:r>
        <w:rPr>
          <w:rFonts w:hint="eastAsia" w:eastAsia="仿宋_GB2312" w:cs="Times New Roman"/>
          <w:color w:val="auto"/>
          <w:sz w:val="30"/>
          <w:szCs w:val="30"/>
        </w:rPr>
        <w:t>月1</w:t>
      </w:r>
      <w:r>
        <w:rPr>
          <w:rFonts w:eastAsia="仿宋_GB2312" w:cs="Times New Roman"/>
          <w:color w:val="auto"/>
          <w:sz w:val="30"/>
          <w:szCs w:val="30"/>
        </w:rPr>
        <w:t>8</w:t>
      </w:r>
      <w:r>
        <w:rPr>
          <w:rFonts w:hint="eastAsia" w:eastAsia="仿宋_GB2312" w:cs="Times New Roman"/>
          <w:color w:val="auto"/>
          <w:sz w:val="30"/>
          <w:szCs w:val="30"/>
        </w:rPr>
        <w:t>日至</w:t>
      </w:r>
      <w:r>
        <w:rPr>
          <w:rFonts w:eastAsia="仿宋_GB2312" w:cs="Times New Roman"/>
          <w:color w:val="auto"/>
          <w:sz w:val="30"/>
          <w:szCs w:val="30"/>
        </w:rPr>
        <w:t>12</w:t>
      </w:r>
      <w:r>
        <w:rPr>
          <w:rFonts w:hint="eastAsia" w:eastAsia="仿宋_GB2312" w:cs="Times New Roman"/>
          <w:color w:val="auto"/>
          <w:sz w:val="30"/>
          <w:szCs w:val="30"/>
        </w:rPr>
        <w:t>月</w:t>
      </w:r>
      <w:r>
        <w:rPr>
          <w:rFonts w:eastAsia="仿宋_GB2312" w:cs="Times New Roman"/>
          <w:color w:val="auto"/>
          <w:sz w:val="30"/>
          <w:szCs w:val="30"/>
        </w:rPr>
        <w:t>31</w:t>
      </w:r>
      <w:r>
        <w:rPr>
          <w:rFonts w:hint="eastAsia" w:eastAsia="仿宋_GB2312" w:cs="Times New Roman"/>
          <w:color w:val="auto"/>
          <w:sz w:val="30"/>
          <w:szCs w:val="30"/>
        </w:rPr>
        <w:t>日，分为筹备、学习、总结三个阶段，具体安排见下表：</w:t>
      </w:r>
    </w:p>
    <w:tbl>
      <w:tblPr>
        <w:tblStyle w:val="2"/>
        <w:tblW w:w="0" w:type="auto"/>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470"/>
        <w:gridCol w:w="1933"/>
        <w:gridCol w:w="490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1" w:hRule="atLeast"/>
          <w:jc w:val="center"/>
        </w:trPr>
        <w:tc>
          <w:tcPr>
            <w:tcW w:w="1470" w:type="dxa"/>
            <w:tcBorders>
              <w:top w:val="single" w:color="000000" w:sz="4"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4"/>
              <w:widowControl/>
              <w:spacing w:line="300" w:lineRule="exact"/>
              <w:jc w:val="center"/>
              <w:rPr>
                <w:rFonts w:hint="eastAsia" w:eastAsia="仿宋_GB2312"/>
                <w:kern w:val="0"/>
                <w:sz w:val="24"/>
                <w:szCs w:val="24"/>
              </w:rPr>
            </w:pPr>
            <w:r>
              <w:rPr>
                <w:rFonts w:hint="eastAsia" w:eastAsia="仿宋_GB2312" w:cs="仿宋_GB2312"/>
                <w:b/>
                <w:bCs/>
                <w:kern w:val="0"/>
                <w:sz w:val="24"/>
                <w:szCs w:val="24"/>
                <w:lang w:val="zh-TW" w:eastAsia="zh-TW"/>
              </w:rPr>
              <w:t>培训阶段</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widowControl/>
              <w:spacing w:line="300" w:lineRule="exact"/>
              <w:jc w:val="center"/>
              <w:rPr>
                <w:rFonts w:hint="eastAsia" w:eastAsia="仿宋_GB2312"/>
                <w:kern w:val="0"/>
                <w:sz w:val="24"/>
                <w:szCs w:val="24"/>
              </w:rPr>
            </w:pPr>
            <w:r>
              <w:rPr>
                <w:rFonts w:hint="eastAsia" w:eastAsia="仿宋_GB2312" w:cs="仿宋_GB2312"/>
                <w:b/>
                <w:bCs/>
                <w:kern w:val="0"/>
                <w:sz w:val="24"/>
                <w:szCs w:val="24"/>
                <w:lang w:val="zh-TW" w:eastAsia="zh-TW"/>
              </w:rPr>
              <w:t>培训时间</w:t>
            </w:r>
          </w:p>
        </w:tc>
        <w:tc>
          <w:tcPr>
            <w:tcW w:w="49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widowControl/>
              <w:spacing w:line="300" w:lineRule="exact"/>
              <w:jc w:val="center"/>
              <w:rPr>
                <w:rFonts w:hint="eastAsia" w:eastAsia="仿宋_GB2312"/>
                <w:kern w:val="0"/>
                <w:sz w:val="24"/>
                <w:szCs w:val="24"/>
              </w:rPr>
            </w:pPr>
            <w:r>
              <w:rPr>
                <w:rFonts w:hint="eastAsia" w:eastAsia="仿宋_GB2312" w:cs="仿宋_GB2312"/>
                <w:b/>
                <w:bCs/>
                <w:kern w:val="0"/>
                <w:sz w:val="24"/>
                <w:szCs w:val="24"/>
                <w:lang w:val="zh-TW" w:eastAsia="zh-TW"/>
              </w:rPr>
              <w:t>工作内容</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62" w:hRule="atLeast"/>
          <w:jc w:val="center"/>
        </w:trPr>
        <w:tc>
          <w:tcPr>
            <w:tcW w:w="1470" w:type="dxa"/>
            <w:tcBorders>
              <w:top w:val="single" w:color="000000" w:sz="4"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4"/>
              <w:spacing w:line="300" w:lineRule="exact"/>
              <w:jc w:val="center"/>
              <w:rPr>
                <w:rFonts w:eastAsia="仿宋_GB2312"/>
                <w:kern w:val="0"/>
                <w:sz w:val="24"/>
                <w:szCs w:val="24"/>
              </w:rPr>
            </w:pPr>
            <w:r>
              <w:rPr>
                <w:rFonts w:hint="eastAsia" w:eastAsia="仿宋_GB2312" w:cs="仿宋_GB2312"/>
                <w:kern w:val="0"/>
                <w:sz w:val="24"/>
                <w:szCs w:val="24"/>
                <w:lang w:val="zh-TW" w:eastAsia="zh-TW"/>
              </w:rPr>
              <w:t>筹备阶段</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jc w:val="center"/>
              <w:rPr>
                <w:rFonts w:eastAsia="仿宋_GB2312" w:cs="Times New Roman"/>
                <w:kern w:val="0"/>
                <w:sz w:val="24"/>
                <w:szCs w:val="24"/>
                <w:lang w:val="zh-TW"/>
              </w:rPr>
            </w:pPr>
            <w:r>
              <w:rPr>
                <w:rFonts w:eastAsia="仿宋_GB2312" w:cs="Times New Roman"/>
                <w:kern w:val="0"/>
                <w:sz w:val="24"/>
                <w:szCs w:val="24"/>
              </w:rPr>
              <w:t>10</w:t>
            </w:r>
            <w:r>
              <w:rPr>
                <w:rFonts w:hint="eastAsia" w:eastAsia="仿宋_GB2312" w:cs="Times New Roman"/>
                <w:kern w:val="0"/>
                <w:sz w:val="24"/>
                <w:szCs w:val="24"/>
                <w:lang w:val="zh-TW"/>
              </w:rPr>
              <w:t>月</w:t>
            </w:r>
            <w:r>
              <w:rPr>
                <w:rFonts w:hint="eastAsia" w:eastAsia="宋体" w:cs="Times New Roman"/>
                <w:kern w:val="0"/>
                <w:sz w:val="24"/>
                <w:szCs w:val="24"/>
                <w:lang w:val="zh-TW"/>
              </w:rPr>
              <w:t>1</w:t>
            </w:r>
            <w:r>
              <w:rPr>
                <w:rFonts w:hint="eastAsia" w:eastAsia="等线" w:cs="Times New Roman"/>
                <w:kern w:val="0"/>
                <w:sz w:val="24"/>
                <w:szCs w:val="24"/>
                <w:lang w:val="zh-TW"/>
              </w:rPr>
              <w:t>8</w:t>
            </w:r>
            <w:r>
              <w:rPr>
                <w:rFonts w:hint="eastAsia" w:eastAsia="仿宋_GB2312" w:cs="Times New Roman"/>
                <w:kern w:val="0"/>
                <w:sz w:val="24"/>
                <w:szCs w:val="24"/>
                <w:lang w:val="zh-TW"/>
              </w:rPr>
              <w:t>日</w:t>
            </w:r>
          </w:p>
          <w:p>
            <w:pPr>
              <w:pStyle w:val="4"/>
              <w:spacing w:line="300" w:lineRule="exact"/>
              <w:jc w:val="center"/>
              <w:rPr>
                <w:rFonts w:eastAsia="仿宋_GB2312" w:cs="Times New Roman"/>
                <w:kern w:val="0"/>
                <w:sz w:val="24"/>
                <w:szCs w:val="24"/>
              </w:rPr>
            </w:pPr>
            <w:r>
              <w:rPr>
                <w:rFonts w:hint="eastAsia" w:eastAsia="仿宋_GB2312" w:cs="Times New Roman"/>
                <w:kern w:val="0"/>
                <w:sz w:val="24"/>
                <w:szCs w:val="24"/>
                <w:lang w:val="zh-TW"/>
              </w:rPr>
              <w:t>至</w:t>
            </w:r>
            <w:r>
              <w:rPr>
                <w:rFonts w:hint="eastAsia" w:eastAsia="仿宋_GB2312" w:cs="Times New Roman"/>
                <w:kern w:val="0"/>
                <w:sz w:val="24"/>
                <w:szCs w:val="24"/>
                <w:lang w:val="zh-TW" w:eastAsia="zh-TW"/>
              </w:rPr>
              <w:t>10</w:t>
            </w:r>
            <w:r>
              <w:rPr>
                <w:rFonts w:hint="eastAsia" w:eastAsia="仿宋_GB2312" w:cs="Times New Roman"/>
                <w:kern w:val="0"/>
                <w:sz w:val="24"/>
                <w:szCs w:val="24"/>
                <w:lang w:val="zh-TW"/>
              </w:rPr>
              <w:t>月25日</w:t>
            </w:r>
          </w:p>
        </w:tc>
        <w:tc>
          <w:tcPr>
            <w:tcW w:w="49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 xml:space="preserve">1. </w:t>
            </w:r>
            <w:r>
              <w:rPr>
                <w:rFonts w:hint="eastAsia" w:eastAsia="仿宋_GB2312" w:cs="Times New Roman"/>
                <w:kern w:val="0"/>
                <w:sz w:val="24"/>
                <w:szCs w:val="24"/>
                <w:lang w:val="zh-TW" w:eastAsia="zh-TW"/>
              </w:rPr>
              <w:t>发放培训通知，部署培训工作</w:t>
            </w:r>
            <w:r>
              <w:rPr>
                <w:rFonts w:hint="eastAsia" w:eastAsia="仿宋_GB2312" w:cs="Times New Roman"/>
                <w:kern w:val="0"/>
                <w:sz w:val="24"/>
                <w:szCs w:val="24"/>
                <w:lang w:val="zh-TW"/>
              </w:rPr>
              <w:t>；</w:t>
            </w:r>
          </w:p>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2. 建立培训管理队伍，进行训前指导；</w:t>
            </w:r>
          </w:p>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3. 回执参训学员信息</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389" w:hRule="atLeast"/>
          <w:jc w:val="center"/>
        </w:trPr>
        <w:tc>
          <w:tcPr>
            <w:tcW w:w="1470" w:type="dxa"/>
            <w:tcBorders>
              <w:top w:val="single" w:color="000000" w:sz="4"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4"/>
              <w:spacing w:line="300" w:lineRule="exact"/>
              <w:jc w:val="center"/>
              <w:rPr>
                <w:rFonts w:eastAsia="仿宋_GB2312"/>
                <w:kern w:val="0"/>
                <w:sz w:val="24"/>
                <w:szCs w:val="24"/>
              </w:rPr>
            </w:pPr>
            <w:r>
              <w:rPr>
                <w:rFonts w:hint="eastAsia" w:eastAsia="仿宋_GB2312" w:cs="仿宋_GB2312"/>
                <w:kern w:val="0"/>
                <w:sz w:val="24"/>
                <w:szCs w:val="24"/>
                <w:lang w:val="zh-TW" w:eastAsia="zh-TW"/>
              </w:rPr>
              <w:t>学习阶段</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jc w:val="center"/>
              <w:rPr>
                <w:rFonts w:eastAsia="仿宋_GB2312" w:cs="Times New Roman"/>
                <w:kern w:val="0"/>
                <w:sz w:val="24"/>
                <w:szCs w:val="24"/>
              </w:rPr>
            </w:pPr>
            <w:r>
              <w:rPr>
                <w:rFonts w:hint="eastAsia" w:eastAsia="仿宋_GB2312" w:cs="Times New Roman"/>
                <w:kern w:val="0"/>
                <w:sz w:val="24"/>
                <w:szCs w:val="24"/>
              </w:rPr>
              <w:t>10月26日</w:t>
            </w:r>
          </w:p>
          <w:p>
            <w:pPr>
              <w:pStyle w:val="4"/>
              <w:spacing w:line="300" w:lineRule="exact"/>
              <w:jc w:val="center"/>
              <w:rPr>
                <w:rFonts w:eastAsia="仿宋_GB2312" w:cs="Times New Roman"/>
                <w:kern w:val="0"/>
                <w:sz w:val="24"/>
                <w:szCs w:val="24"/>
              </w:rPr>
            </w:pPr>
            <w:r>
              <w:rPr>
                <w:rFonts w:hint="eastAsia" w:eastAsia="仿宋_GB2312" w:cs="Times New Roman"/>
                <w:kern w:val="0"/>
                <w:sz w:val="24"/>
                <w:szCs w:val="24"/>
              </w:rPr>
              <w:t>至</w:t>
            </w:r>
            <w:r>
              <w:rPr>
                <w:rFonts w:hint="eastAsia" w:eastAsia="仿宋_GB2312" w:cs="Times New Roman"/>
                <w:color w:val="auto"/>
                <w:kern w:val="0"/>
                <w:sz w:val="24"/>
                <w:szCs w:val="24"/>
              </w:rPr>
              <w:t>12月20日</w:t>
            </w:r>
          </w:p>
        </w:tc>
        <w:tc>
          <w:tcPr>
            <w:tcW w:w="49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ind w:left="141" w:leftChars="57" w:right="225" w:rightChars="107" w:hanging="21" w:hangingChars="9"/>
              <w:rPr>
                <w:rFonts w:eastAsia="仿宋_GB2312" w:cs="Times New Roman"/>
                <w:kern w:val="0"/>
                <w:sz w:val="24"/>
                <w:szCs w:val="24"/>
              </w:rPr>
            </w:pPr>
            <w:r>
              <w:rPr>
                <w:rFonts w:hint="eastAsia" w:eastAsia="仿宋_GB2312" w:cs="Times New Roman"/>
                <w:kern w:val="0"/>
                <w:sz w:val="24"/>
                <w:szCs w:val="24"/>
              </w:rPr>
              <w:t>1. 参训学员按照教学计划，完成规定学时视频课程学习，参与交流研讨，撰写研修心得，完成在线考试；</w:t>
            </w:r>
          </w:p>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2. 各地各校加强培训过程的督查和指导</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55" w:hRule="atLeast"/>
          <w:jc w:val="center"/>
        </w:trPr>
        <w:tc>
          <w:tcPr>
            <w:tcW w:w="1470" w:type="dxa"/>
            <w:tcBorders>
              <w:top w:val="single" w:color="000000" w:sz="4"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4"/>
              <w:spacing w:line="300" w:lineRule="exact"/>
              <w:jc w:val="center"/>
              <w:rPr>
                <w:rFonts w:eastAsia="仿宋_GB2312"/>
                <w:kern w:val="0"/>
                <w:sz w:val="24"/>
                <w:szCs w:val="24"/>
              </w:rPr>
            </w:pPr>
            <w:r>
              <w:rPr>
                <w:rFonts w:hint="eastAsia" w:eastAsia="仿宋_GB2312" w:cs="仿宋_GB2312"/>
                <w:kern w:val="0"/>
                <w:sz w:val="24"/>
                <w:szCs w:val="24"/>
                <w:lang w:val="zh-TW" w:eastAsia="zh-TW"/>
              </w:rPr>
              <w:t>总结阶段</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jc w:val="center"/>
              <w:rPr>
                <w:rFonts w:eastAsia="仿宋_GB2312" w:cs="Times New Roman"/>
                <w:kern w:val="0"/>
                <w:sz w:val="24"/>
                <w:szCs w:val="24"/>
              </w:rPr>
            </w:pPr>
            <w:r>
              <w:rPr>
                <w:rFonts w:hint="eastAsia" w:eastAsia="仿宋_GB2312" w:cs="Times New Roman"/>
                <w:color w:val="auto"/>
                <w:kern w:val="0"/>
                <w:sz w:val="24"/>
                <w:szCs w:val="24"/>
              </w:rPr>
              <w:t>12</w:t>
            </w:r>
            <w:r>
              <w:rPr>
                <w:rFonts w:hint="eastAsia" w:eastAsia="仿宋_GB2312" w:cs="Times New Roman"/>
                <w:kern w:val="0"/>
                <w:sz w:val="24"/>
                <w:szCs w:val="24"/>
              </w:rPr>
              <w:t>月</w:t>
            </w:r>
            <w:r>
              <w:rPr>
                <w:rFonts w:hint="eastAsia" w:eastAsia="仿宋_GB2312" w:cs="Times New Roman"/>
                <w:color w:val="auto"/>
                <w:kern w:val="0"/>
                <w:sz w:val="24"/>
                <w:szCs w:val="24"/>
              </w:rPr>
              <w:t>21</w:t>
            </w:r>
            <w:r>
              <w:rPr>
                <w:rFonts w:hint="eastAsia" w:eastAsia="仿宋_GB2312" w:cs="Times New Roman"/>
                <w:kern w:val="0"/>
                <w:sz w:val="24"/>
                <w:szCs w:val="24"/>
              </w:rPr>
              <w:t>日</w:t>
            </w:r>
          </w:p>
          <w:p>
            <w:pPr>
              <w:pStyle w:val="4"/>
              <w:spacing w:line="300" w:lineRule="exact"/>
              <w:jc w:val="center"/>
              <w:rPr>
                <w:rFonts w:eastAsia="仿宋_GB2312" w:cs="Times New Roman"/>
                <w:kern w:val="0"/>
                <w:sz w:val="24"/>
                <w:szCs w:val="24"/>
              </w:rPr>
            </w:pPr>
            <w:r>
              <w:rPr>
                <w:rFonts w:hint="eastAsia" w:eastAsia="仿宋_GB2312" w:cs="Times New Roman"/>
                <w:kern w:val="0"/>
                <w:sz w:val="24"/>
                <w:szCs w:val="24"/>
              </w:rPr>
              <w:t>至</w:t>
            </w:r>
            <w:r>
              <w:rPr>
                <w:rFonts w:hint="eastAsia" w:eastAsia="仿宋_GB2312" w:cs="Times New Roman"/>
                <w:color w:val="auto"/>
                <w:kern w:val="0"/>
                <w:sz w:val="24"/>
                <w:szCs w:val="24"/>
              </w:rPr>
              <w:t>12月31</w:t>
            </w:r>
            <w:r>
              <w:rPr>
                <w:rFonts w:hint="eastAsia" w:eastAsia="仿宋_GB2312" w:cs="Times New Roman"/>
                <w:kern w:val="0"/>
                <w:sz w:val="24"/>
                <w:szCs w:val="24"/>
              </w:rPr>
              <w:t>日</w:t>
            </w:r>
          </w:p>
        </w:tc>
        <w:tc>
          <w:tcPr>
            <w:tcW w:w="49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1. 参训学员在线下载打印学时证明；</w:t>
            </w:r>
          </w:p>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2. 各地各校提交培训简报与总结；</w:t>
            </w:r>
          </w:p>
          <w:p>
            <w:pPr>
              <w:pStyle w:val="4"/>
              <w:spacing w:line="300" w:lineRule="exact"/>
              <w:ind w:firstLine="120" w:firstLineChars="50"/>
              <w:rPr>
                <w:rFonts w:eastAsia="仿宋_GB2312" w:cs="Times New Roman"/>
                <w:kern w:val="0"/>
                <w:sz w:val="24"/>
                <w:szCs w:val="24"/>
              </w:rPr>
            </w:pPr>
            <w:r>
              <w:rPr>
                <w:rFonts w:hint="eastAsia" w:eastAsia="仿宋_GB2312" w:cs="Times New Roman"/>
                <w:kern w:val="0"/>
                <w:sz w:val="24"/>
                <w:szCs w:val="24"/>
              </w:rPr>
              <w:t>3. 进行培训评估与总结</w:t>
            </w:r>
          </w:p>
        </w:tc>
      </w:tr>
    </w:tbl>
    <w:p>
      <w:pPr>
        <w:spacing w:before="156" w:beforeLines="50" w:line="600" w:lineRule="exact"/>
        <w:ind w:firstLine="600" w:firstLineChars="200"/>
        <w:jc w:val="left"/>
        <w:rPr>
          <w:rFonts w:hint="eastAsia" w:ascii="Times New Roman" w:hAnsi="Times New Roman" w:eastAsia="黑体"/>
          <w:kern w:val="0"/>
          <w:sz w:val="30"/>
          <w:szCs w:val="30"/>
        </w:rPr>
      </w:pPr>
      <w:r>
        <w:rPr>
          <w:rFonts w:hint="eastAsia" w:ascii="Times New Roman" w:hAnsi="Times New Roman" w:eastAsia="黑体"/>
          <w:kern w:val="0"/>
          <w:sz w:val="30"/>
          <w:szCs w:val="30"/>
        </w:rPr>
        <w:t>二、培训平台使用</w:t>
      </w:r>
    </w:p>
    <w:p>
      <w:pPr>
        <w:pStyle w:val="4"/>
        <w:tabs>
          <w:tab w:val="left" w:pos="3119"/>
        </w:tabs>
        <w:spacing w:line="560" w:lineRule="exact"/>
        <w:ind w:firstLine="601"/>
        <w:rPr>
          <w:rFonts w:eastAsia="仿宋_GB2312" w:cs="Times New Roman"/>
          <w:color w:val="auto"/>
          <w:sz w:val="30"/>
          <w:szCs w:val="30"/>
        </w:rPr>
      </w:pPr>
      <w:r>
        <w:rPr>
          <w:rFonts w:hint="eastAsia" w:eastAsia="仿宋_GB2312" w:cs="Times New Roman"/>
          <w:color w:val="auto"/>
          <w:sz w:val="30"/>
          <w:szCs w:val="30"/>
        </w:rPr>
        <w:t>本次培训依托国家教育行政学院大学生网络党校培训平台（</w:t>
      </w:r>
      <w:r>
        <w:rPr>
          <w:rFonts w:hint="eastAsia" w:eastAsia="仿宋_GB2312" w:cs="Times New Roman"/>
          <w:sz w:val="30"/>
          <w:szCs w:val="30"/>
          <w:lang w:eastAsia="zh-TW"/>
        </w:rPr>
        <w:t>www.uucps.edu.cn</w:t>
      </w:r>
      <w:r>
        <w:rPr>
          <w:rFonts w:hint="eastAsia" w:eastAsia="仿宋_GB2312" w:cs="Times New Roman"/>
          <w:color w:val="auto"/>
          <w:sz w:val="30"/>
          <w:szCs w:val="30"/>
        </w:rPr>
        <w:t>）组织实施。</w:t>
      </w:r>
      <w:bookmarkStart w:id="0" w:name="_Hlk533765397"/>
      <w:r>
        <w:rPr>
          <w:rFonts w:hint="eastAsia" w:eastAsia="仿宋_GB2312" w:cs="Times New Roman"/>
          <w:color w:val="auto"/>
          <w:sz w:val="30"/>
          <w:szCs w:val="30"/>
        </w:rPr>
        <w:t>参训学员在大学生网络党校进行实名注册，登录后使用统一发放的学习卡参加学习（已注册过的学员可直接登录并使用学习卡）。</w:t>
      </w:r>
      <w:bookmarkEnd w:id="0"/>
      <w:r>
        <w:rPr>
          <w:rFonts w:hint="eastAsia" w:eastAsia="仿宋_GB2312" w:cs="Times New Roman"/>
          <w:color w:val="auto"/>
          <w:sz w:val="30"/>
          <w:szCs w:val="30"/>
        </w:rPr>
        <w:t>培训期间参训学员可下载大学生网络党校移动客户端（学习公社app）随时登录学习，还可关注大学生网络党校微信公众号了解各类信息。</w:t>
      </w:r>
    </w:p>
    <w:p>
      <w:pPr>
        <w:pStyle w:val="4"/>
        <w:tabs>
          <w:tab w:val="left" w:pos="3119"/>
        </w:tabs>
        <w:spacing w:line="560" w:lineRule="exact"/>
        <w:ind w:firstLine="601"/>
        <w:rPr>
          <w:rFonts w:eastAsia="仿宋_GB2312" w:cs="Times New Roman"/>
          <w:color w:val="auto"/>
          <w:sz w:val="30"/>
          <w:szCs w:val="30"/>
        </w:rPr>
      </w:pPr>
    </w:p>
    <w:p>
      <w:pPr>
        <w:spacing w:line="600" w:lineRule="exact"/>
        <w:jc w:val="left"/>
        <w:rPr>
          <w:rFonts w:hint="eastAsia" w:ascii="Times New Roman" w:hAnsi="Times New Roman" w:eastAsia="仿宋_GB2312" w:cs="宋体"/>
          <w:kern w:val="0"/>
          <w:sz w:val="30"/>
          <w:szCs w:val="30"/>
        </w:rPr>
      </w:pPr>
      <w:r>
        <w:rPr>
          <w:rFonts w:hint="eastAsia" w:ascii="Times New Roman" w:hAnsi="Times New Roman" w:eastAsia="仿宋_GB2312"/>
        </w:rPr>
        <w:drawing>
          <wp:anchor distT="0" distB="0" distL="114300" distR="114300" simplePos="0" relativeHeight="251658240" behindDoc="0" locked="0" layoutInCell="1" allowOverlap="1">
            <wp:simplePos x="0" y="0"/>
            <wp:positionH relativeFrom="column">
              <wp:posOffset>1400175</wp:posOffset>
            </wp:positionH>
            <wp:positionV relativeFrom="paragraph">
              <wp:posOffset>69850</wp:posOffset>
            </wp:positionV>
            <wp:extent cx="2305050" cy="1314450"/>
            <wp:effectExtent l="0" t="0" r="6350" b="6350"/>
            <wp:wrapNone/>
            <wp:docPr id="1" name="图片 1" descr="C:\Users\ADMINI~1\AppData\Local\Temp\企业微信截图_155833382488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企业微信截图_15583338248883.png"/>
                    <pic:cNvPicPr>
                      <a:picLocks noChangeAspect="1"/>
                    </pic:cNvPicPr>
                  </pic:nvPicPr>
                  <pic:blipFill>
                    <a:blip r:embed="rId4"/>
                    <a:stretch>
                      <a:fillRect/>
                    </a:stretch>
                  </pic:blipFill>
                  <pic:spPr>
                    <a:xfrm>
                      <a:off x="0" y="0"/>
                      <a:ext cx="2305050" cy="1314450"/>
                    </a:xfrm>
                    <a:prstGeom prst="rect">
                      <a:avLst/>
                    </a:prstGeom>
                    <a:noFill/>
                    <a:ln>
                      <a:noFill/>
                    </a:ln>
                  </pic:spPr>
                </pic:pic>
              </a:graphicData>
            </a:graphic>
          </wp:anchor>
        </w:drawing>
      </w:r>
    </w:p>
    <w:p>
      <w:pPr>
        <w:spacing w:line="600" w:lineRule="exact"/>
        <w:jc w:val="left"/>
        <w:rPr>
          <w:rFonts w:hint="eastAsia" w:ascii="Times New Roman" w:hAnsi="Times New Roman" w:eastAsia="仿宋_GB2312" w:cs="宋体"/>
          <w:kern w:val="0"/>
          <w:sz w:val="30"/>
          <w:szCs w:val="30"/>
        </w:rPr>
      </w:pPr>
    </w:p>
    <w:p>
      <w:pPr>
        <w:spacing w:line="600" w:lineRule="exact"/>
        <w:ind w:firstLine="600" w:firstLineChars="200"/>
        <w:jc w:val="left"/>
        <w:rPr>
          <w:rFonts w:hint="eastAsia" w:ascii="Times New Roman" w:hAnsi="Times New Roman" w:eastAsia="仿宋_GB2312" w:cs="宋体"/>
          <w:kern w:val="0"/>
          <w:sz w:val="30"/>
          <w:szCs w:val="30"/>
        </w:rPr>
      </w:pPr>
    </w:p>
    <w:p>
      <w:pPr>
        <w:spacing w:line="600" w:lineRule="exact"/>
        <w:ind w:firstLine="600" w:firstLineChars="200"/>
        <w:jc w:val="left"/>
        <w:rPr>
          <w:rFonts w:hint="eastAsia" w:ascii="Times New Roman" w:hAnsi="Times New Roman" w:eastAsia="仿宋_GB2312" w:cs="宋体"/>
          <w:kern w:val="0"/>
          <w:sz w:val="30"/>
          <w:szCs w:val="30"/>
        </w:rPr>
      </w:pPr>
      <w:r>
        <w:rPr>
          <w:rFonts w:hint="eastAsia" w:ascii="Times New Roman" w:hAnsi="Times New Roman" w:eastAsia="仿宋_GB2312"/>
          <w:kern w:val="0"/>
          <w:sz w:val="30"/>
          <w:szCs w:val="30"/>
        </w:rPr>
        <mc:AlternateContent>
          <mc:Choice Requires="wps">
            <w:drawing>
              <wp:anchor distT="0" distB="0" distL="114300" distR="114300" simplePos="0" relativeHeight="251660288" behindDoc="0" locked="0" layoutInCell="1" allowOverlap="1">
                <wp:simplePos x="0" y="0"/>
                <wp:positionH relativeFrom="column">
                  <wp:posOffset>2587625</wp:posOffset>
                </wp:positionH>
                <wp:positionV relativeFrom="paragraph">
                  <wp:posOffset>27305</wp:posOffset>
                </wp:positionV>
                <wp:extent cx="1089025" cy="258445"/>
                <wp:effectExtent l="0" t="0" r="3175" b="8255"/>
                <wp:wrapNone/>
                <wp:docPr id="3" name="文本框 3"/>
                <wp:cNvGraphicFramePr/>
                <a:graphic xmlns:a="http://schemas.openxmlformats.org/drawingml/2006/main">
                  <a:graphicData uri="http://schemas.microsoft.com/office/word/2010/wordprocessingShape">
                    <wps:wsp>
                      <wps:cNvSpPr txBox="1"/>
                      <wps:spPr>
                        <a:xfrm>
                          <a:off x="0" y="0"/>
                          <a:ext cx="1089025" cy="258445"/>
                        </a:xfrm>
                        <a:prstGeom prst="rect">
                          <a:avLst/>
                        </a:prstGeom>
                        <a:solidFill>
                          <a:srgbClr val="FFFFFF"/>
                        </a:solidFill>
                        <a:ln>
                          <a:noFill/>
                        </a:ln>
                      </wps:spPr>
                      <wps:txbx>
                        <w:txbxContent>
                          <w:p>
                            <w:r>
                              <w:rPr>
                                <w:rFonts w:hint="eastAsia" w:ascii="黑体" w:hAnsi="黑体" w:eastAsia="黑体"/>
                              </w:rPr>
                              <w:t>微信关注我</w:t>
                            </w:r>
                            <w:r>
                              <w:rPr>
                                <w:rFonts w:hint="eastAsia"/>
                              </w:rPr>
                              <w:t>们</w:t>
                            </w:r>
                          </w:p>
                        </w:txbxContent>
                      </wps:txbx>
                      <wps:bodyPr upright="1"/>
                    </wps:wsp>
                  </a:graphicData>
                </a:graphic>
              </wp:anchor>
            </w:drawing>
          </mc:Choice>
          <mc:Fallback>
            <w:pict>
              <v:shape id="_x0000_s1026" o:spid="_x0000_s1026" o:spt="202" type="#_x0000_t202" style="position:absolute;left:0pt;margin-left:203.75pt;margin-top:2.15pt;height:20.35pt;width:85.75pt;z-index:251660288;mso-width-relative:margin;mso-height-relative:margin;" stroked="f" coordsize="21600,21600" o:gfxdata="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4HjLn1gAAAAgBAAAPAAAA&#10;AAAAAAEAIAAAACIAAABkcnMvZG93bnJldi54bWxQSwECFAAUAAAACACHTuJAlTwVl6UBAAApAwAA&#10;DgAAAAAAAAABACAAAAAlAQAAZHJzL2Uyb0RvYy54bWxQSwUGAAAAAAYABgBZAQAAPAUAAAAA&#10;">
                <v:path/>
                <v:fill focussize="0,0"/>
                <v:stroke on="f"/>
                <v:imagedata o:title=""/>
                <o:lock v:ext="edit"/>
                <v:textbox>
                  <w:txbxContent>
                    <w:p>
                      <w:r>
                        <w:rPr>
                          <w:rFonts w:hint="eastAsia" w:ascii="黑体" w:hAnsi="黑体" w:eastAsia="黑体"/>
                        </w:rPr>
                        <w:t>微信关注我</w:t>
                      </w:r>
                      <w:r>
                        <w:rPr>
                          <w:rFonts w:hint="eastAsia"/>
                        </w:rPr>
                        <w:t>们</w:t>
                      </w:r>
                    </w:p>
                  </w:txbxContent>
                </v:textbox>
              </v:shape>
            </w:pict>
          </mc:Fallback>
        </mc:AlternateContent>
      </w:r>
      <w:r>
        <w:rPr>
          <w:rFonts w:hint="eastAsia" w:ascii="Times New Roman" w:hAnsi="Times New Roman" w:eastAsia="仿宋_GB2312"/>
          <w:kern w:val="0"/>
          <w:sz w:val="30"/>
          <w:szCs w:val="30"/>
        </w:rPr>
        <mc:AlternateContent>
          <mc:Choice Requires="wps">
            <w:drawing>
              <wp:anchor distT="0" distB="0" distL="114300" distR="114300" simplePos="0" relativeHeight="251659264" behindDoc="0" locked="0" layoutInCell="1" allowOverlap="1">
                <wp:simplePos x="0" y="0"/>
                <wp:positionH relativeFrom="column">
                  <wp:posOffset>1511300</wp:posOffset>
                </wp:positionH>
                <wp:positionV relativeFrom="paragraph">
                  <wp:posOffset>17780</wp:posOffset>
                </wp:positionV>
                <wp:extent cx="1108075" cy="287020"/>
                <wp:effectExtent l="0" t="0" r="9525" b="5080"/>
                <wp:wrapNone/>
                <wp:docPr id="2" name="文本框 2"/>
                <wp:cNvGraphicFramePr/>
                <a:graphic xmlns:a="http://schemas.openxmlformats.org/drawingml/2006/main">
                  <a:graphicData uri="http://schemas.microsoft.com/office/word/2010/wordprocessingShape">
                    <wps:wsp>
                      <wps:cNvSpPr txBox="1"/>
                      <wps:spPr>
                        <a:xfrm>
                          <a:off x="0" y="0"/>
                          <a:ext cx="1108075" cy="287020"/>
                        </a:xfrm>
                        <a:prstGeom prst="rect">
                          <a:avLst/>
                        </a:prstGeom>
                        <a:solidFill>
                          <a:srgbClr val="FFFFFF"/>
                        </a:solidFill>
                        <a:ln>
                          <a:noFill/>
                        </a:ln>
                      </wps:spPr>
                      <wps:txbx>
                        <w:txbxContent>
                          <w:p>
                            <w:pPr>
                              <w:rPr>
                                <w:rFonts w:ascii="黑体" w:hAnsi="黑体" w:eastAsia="黑体" w:cs="Times New Roman"/>
                              </w:rPr>
                            </w:pPr>
                            <w:r>
                              <w:rPr>
                                <w:rFonts w:ascii="黑体" w:hAnsi="黑体" w:eastAsia="黑体" w:cs="Times New Roman"/>
                              </w:rPr>
                              <w:t>学习公社app</w:t>
                            </w:r>
                          </w:p>
                        </w:txbxContent>
                      </wps:txbx>
                      <wps:bodyPr upright="1"/>
                    </wps:wsp>
                  </a:graphicData>
                </a:graphic>
              </wp:anchor>
            </w:drawing>
          </mc:Choice>
          <mc:Fallback>
            <w:pict>
              <v:shape id="_x0000_s1026" o:spid="_x0000_s1026" o:spt="202" type="#_x0000_t202" style="position:absolute;left:0pt;margin-left:119pt;margin-top:1.4pt;height:22.6pt;width:87.25pt;z-index:251659264;mso-width-relative:margin;mso-height-relative:margin;" stroked="f" coordsize="21600,21600" o:gfxdata="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hmlmTVAAAACAEAAA8AAAAA&#10;AAAAAQAgAAAAIgAAAGRycy9kb3ducmV2LnhtbFBLAQIUABQAAAAIAIdO4kD1SGIapQEAACkDAAAO&#10;AAAAAAAAAAEAIAAAACQBAABkcnMvZTJvRG9jLnhtbFBLBQYAAAAABgAGAFkBAAA7BQAAAAA=&#10;">
                <v:path/>
                <v:fill focussize="0,0"/>
                <v:stroke on="f"/>
                <v:imagedata o:title=""/>
                <o:lock v:ext="edit"/>
                <v:textbox>
                  <w:txbxContent>
                    <w:p>
                      <w:pPr>
                        <w:rPr>
                          <w:rFonts w:ascii="黑体" w:hAnsi="黑体" w:eastAsia="黑体" w:cs="Times New Roman"/>
                        </w:rPr>
                      </w:pPr>
                      <w:r>
                        <w:rPr>
                          <w:rFonts w:ascii="黑体" w:hAnsi="黑体" w:eastAsia="黑体" w:cs="Times New Roman"/>
                        </w:rPr>
                        <w:t>学习公社app</w:t>
                      </w:r>
                    </w:p>
                  </w:txbxContent>
                </v:textbox>
              </v:shape>
            </w:pict>
          </mc:Fallback>
        </mc:AlternateContent>
      </w:r>
    </w:p>
    <w:p>
      <w:pPr>
        <w:spacing w:line="600" w:lineRule="exact"/>
        <w:ind w:firstLine="600" w:firstLineChars="200"/>
        <w:jc w:val="left"/>
        <w:rPr>
          <w:rFonts w:hint="eastAsia" w:ascii="Times New Roman" w:hAnsi="Times New Roman" w:eastAsia="黑体"/>
          <w:kern w:val="0"/>
          <w:sz w:val="30"/>
          <w:szCs w:val="30"/>
        </w:rPr>
      </w:pPr>
      <w:r>
        <w:rPr>
          <w:rFonts w:hint="eastAsia" w:ascii="Times New Roman" w:hAnsi="Times New Roman" w:eastAsia="黑体"/>
          <w:kern w:val="0"/>
          <w:sz w:val="30"/>
          <w:szCs w:val="30"/>
        </w:rPr>
        <w:t>三、培训内容</w:t>
      </w:r>
    </w:p>
    <w:p>
      <w:pPr>
        <w:spacing w:after="156" w:afterLines="50" w:line="560" w:lineRule="exact"/>
        <w:ind w:firstLine="600" w:firstLineChars="200"/>
        <w:rPr>
          <w:rFonts w:hint="eastAsia" w:ascii="Times New Roman" w:hAnsi="Times New Roman"/>
        </w:rPr>
      </w:pPr>
      <w:r>
        <w:rPr>
          <w:rFonts w:hint="eastAsia" w:ascii="Times New Roman" w:hAnsi="Times New Roman" w:eastAsia="仿宋_GB2312" w:cs="Times New Roman"/>
          <w:sz w:val="30"/>
          <w:szCs w:val="30"/>
        </w:rPr>
        <w:t>结合“不忘初心、牢记使命”主题教育的工作要求，本次培训围绕习近平新时代中国特色社会主义思想、高校基层党建工作实务与实践探索、高校思想政治工作理论与实践、党性修养提升等内容设置课程模块，包括专家讲座、主题报告、专题访谈、案例教学、专题片等形式。</w:t>
      </w:r>
    </w:p>
    <w:p>
      <w:pPr>
        <w:spacing w:line="600" w:lineRule="exact"/>
        <w:ind w:firstLine="600" w:firstLineChars="200"/>
        <w:jc w:val="left"/>
        <w:outlineLvl w:val="0"/>
        <w:rPr>
          <w:rFonts w:hint="eastAsia" w:ascii="Times New Roman" w:hAnsi="Times New Roman" w:eastAsia="黑体"/>
          <w:kern w:val="0"/>
          <w:sz w:val="30"/>
          <w:szCs w:val="30"/>
        </w:rPr>
      </w:pPr>
      <w:r>
        <w:rPr>
          <w:rFonts w:hint="eastAsia" w:ascii="Times New Roman" w:hAnsi="Times New Roman" w:eastAsia="黑体"/>
          <w:kern w:val="0"/>
          <w:sz w:val="30"/>
          <w:szCs w:val="30"/>
        </w:rPr>
        <w:t>四、培训环节与要求</w:t>
      </w:r>
    </w:p>
    <w:p>
      <w:pPr>
        <w:spacing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本次培训分为</w:t>
      </w:r>
      <w:bookmarkStart w:id="1" w:name="_Hlk494525351"/>
      <w:r>
        <w:rPr>
          <w:rFonts w:hint="eastAsia" w:ascii="Times New Roman" w:hAnsi="Times New Roman" w:eastAsia="仿宋_GB2312" w:cs="Times New Roman"/>
          <w:sz w:val="30"/>
          <w:szCs w:val="30"/>
        </w:rPr>
        <w:t>课程学习、交流研讨、研修心得撰写、在线考试四个环节</w:t>
      </w:r>
      <w:bookmarkEnd w:id="1"/>
      <w:r>
        <w:rPr>
          <w:rFonts w:hint="eastAsia" w:ascii="Times New Roman" w:hAnsi="Times New Roman" w:eastAsia="仿宋_GB2312" w:cs="Times New Roman"/>
          <w:sz w:val="30"/>
          <w:szCs w:val="30"/>
        </w:rPr>
        <w:t>。</w:t>
      </w:r>
    </w:p>
    <w:p>
      <w:pPr>
        <w:spacing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1. 课程学习：</w:t>
      </w:r>
      <w:bookmarkStart w:id="2" w:name="_Hlk494525391"/>
      <w:r>
        <w:rPr>
          <w:rFonts w:hint="eastAsia" w:ascii="Times New Roman" w:hAnsi="Times New Roman" w:eastAsia="仿宋_GB2312" w:cs="Times New Roman"/>
          <w:sz w:val="30"/>
          <w:szCs w:val="30"/>
        </w:rPr>
        <w:t>培训期间，参训学员</w:t>
      </w:r>
      <w:bookmarkEnd w:id="2"/>
      <w:r>
        <w:rPr>
          <w:rFonts w:hint="eastAsia" w:ascii="Times New Roman" w:hAnsi="Times New Roman" w:eastAsia="仿宋_GB2312" w:cs="Times New Roman"/>
          <w:sz w:val="30"/>
          <w:szCs w:val="30"/>
        </w:rPr>
        <w:t>需自主选学完成不少于</w:t>
      </w:r>
      <w:r>
        <w:rPr>
          <w:rFonts w:ascii="Times New Roman" w:hAnsi="Times New Roman" w:eastAsia="仿宋_GB2312" w:cs="Times New Roman"/>
          <w:sz w:val="30"/>
          <w:szCs w:val="30"/>
        </w:rPr>
        <w:t>20</w:t>
      </w:r>
      <w:r>
        <w:rPr>
          <w:rFonts w:hint="eastAsia" w:ascii="Times New Roman" w:hAnsi="Times New Roman" w:eastAsia="仿宋_GB2312" w:cs="Times New Roman"/>
          <w:sz w:val="30"/>
          <w:szCs w:val="30"/>
        </w:rPr>
        <w:t>学时（45分钟/学时）的视频课程学习任务。</w:t>
      </w:r>
    </w:p>
    <w:p>
      <w:pPr>
        <w:spacing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2. 交流研讨：培训期间，参训学员可围绕“</w:t>
      </w:r>
      <w:r>
        <w:rPr>
          <w:rFonts w:hint="eastAsia" w:ascii="楷体" w:hAnsi="楷体" w:eastAsia="楷体" w:cs="Times New Roman"/>
          <w:sz w:val="30"/>
          <w:szCs w:val="30"/>
        </w:rPr>
        <w:t>如何把主题教育同实施高校党组织‘对标争先’建设计划有机结合</w:t>
      </w:r>
      <w:r>
        <w:rPr>
          <w:rFonts w:hint="eastAsia" w:ascii="Times New Roman" w:hAnsi="Times New Roman" w:eastAsia="仿宋_GB2312" w:cs="Times New Roman"/>
          <w:sz w:val="30"/>
          <w:szCs w:val="30"/>
        </w:rPr>
        <w:t>”“</w:t>
      </w:r>
      <w:r>
        <w:rPr>
          <w:rFonts w:hint="eastAsia" w:ascii="楷体" w:hAnsi="楷体" w:eastAsia="楷体" w:cs="Times New Roman"/>
          <w:sz w:val="30"/>
          <w:szCs w:val="30"/>
        </w:rPr>
        <w:t>如何发挥好‘双带头人’作用，激发教师党支部工作活力</w:t>
      </w:r>
      <w:r>
        <w:rPr>
          <w:rFonts w:hint="eastAsia" w:ascii="Times New Roman" w:hAnsi="Times New Roman" w:eastAsia="仿宋_GB2312" w:cs="Times New Roman"/>
          <w:sz w:val="30"/>
          <w:szCs w:val="30"/>
        </w:rPr>
        <w:t>”“</w:t>
      </w:r>
      <w:r>
        <w:rPr>
          <w:rFonts w:hint="eastAsia" w:ascii="楷体" w:hAnsi="楷体" w:eastAsia="楷体" w:cs="Times New Roman"/>
          <w:sz w:val="30"/>
          <w:szCs w:val="30"/>
        </w:rPr>
        <w:t>如何推进党建工作与业务工作融合共促</w:t>
      </w:r>
      <w:r>
        <w:rPr>
          <w:rFonts w:hint="eastAsia" w:ascii="Times New Roman" w:hAnsi="Times New Roman" w:eastAsia="仿宋_GB2312" w:cs="Times New Roman"/>
          <w:sz w:val="30"/>
          <w:szCs w:val="30"/>
        </w:rPr>
        <w:t>”“</w:t>
      </w:r>
      <w:r>
        <w:rPr>
          <w:rFonts w:hint="eastAsia" w:ascii="楷体" w:hAnsi="楷体" w:eastAsia="楷体" w:cs="Times New Roman"/>
          <w:sz w:val="30"/>
          <w:szCs w:val="30"/>
        </w:rPr>
        <w:t>如何做好高校意识形态风险防范工作</w:t>
      </w:r>
      <w:r>
        <w:rPr>
          <w:rFonts w:hint="eastAsia" w:ascii="Times New Roman" w:hAnsi="Times New Roman" w:eastAsia="仿宋_GB2312" w:cs="Times New Roman"/>
          <w:sz w:val="30"/>
          <w:szCs w:val="30"/>
        </w:rPr>
        <w:t>”“</w:t>
      </w:r>
      <w:r>
        <w:rPr>
          <w:rFonts w:hint="eastAsia" w:ascii="楷体" w:hAnsi="楷体" w:eastAsia="楷体" w:cs="Times New Roman"/>
          <w:sz w:val="30"/>
          <w:szCs w:val="30"/>
        </w:rPr>
        <w:t>如何做好教职工的思想政治工作</w:t>
      </w:r>
      <w:r>
        <w:rPr>
          <w:rFonts w:hint="eastAsia" w:ascii="Times New Roman" w:hAnsi="Times New Roman" w:eastAsia="仿宋_GB2312" w:cs="Times New Roman"/>
          <w:sz w:val="30"/>
          <w:szCs w:val="30"/>
        </w:rPr>
        <w:t>”等主题进行网上集中研讨，也可结合所在学校实际情况，线下自行组织开展讨论。</w:t>
      </w:r>
    </w:p>
    <w:p>
      <w:pPr>
        <w:spacing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3. 研修心得撰写：培训期间，要求参训学员结合本次培训目标和“不忘初心、牢记使命”的总要求，撰写一篇不少于</w:t>
      </w:r>
      <w:r>
        <w:rPr>
          <w:rFonts w:ascii="Times New Roman" w:hAnsi="Times New Roman" w:eastAsia="仿宋_GB2312" w:cs="Times New Roman"/>
          <w:sz w:val="30"/>
          <w:szCs w:val="30"/>
        </w:rPr>
        <w:t>10</w:t>
      </w:r>
      <w:r>
        <w:rPr>
          <w:rFonts w:hint="eastAsia" w:ascii="Times New Roman" w:hAnsi="Times New Roman" w:eastAsia="仿宋_GB2312" w:cs="Times New Roman"/>
          <w:sz w:val="30"/>
          <w:szCs w:val="30"/>
        </w:rPr>
        <w:t>00字的研修心得。大学生网络党校还将同时进行“全国高校基层党建工作优秀案例征集活动”，进一步总结交流和宣传推广高校基层党组织建设改革创新的典型做法和先进经验，欢迎各位学员积极踊跃投稿，特别优秀稿件将推荐到“学习强国”学习平台。</w:t>
      </w:r>
    </w:p>
    <w:p>
      <w:pPr>
        <w:spacing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4. 在线考试：参训学员在完成规定学时的课程学习后，需参加在线考试，考核内容为培训课程所学内容，题型为单选、多选、判断，总分为100分，</w:t>
      </w:r>
      <w:r>
        <w:rPr>
          <w:rFonts w:ascii="Times New Roman" w:hAnsi="Times New Roman" w:eastAsia="仿宋_GB2312" w:cs="Times New Roman"/>
          <w:sz w:val="30"/>
          <w:szCs w:val="30"/>
        </w:rPr>
        <w:t>75</w:t>
      </w:r>
      <w:r>
        <w:rPr>
          <w:rFonts w:hint="eastAsia" w:ascii="Times New Roman" w:hAnsi="Times New Roman" w:eastAsia="仿宋_GB2312" w:cs="Times New Roman"/>
          <w:sz w:val="30"/>
          <w:szCs w:val="30"/>
        </w:rPr>
        <w:t>分及以上为合格。</w:t>
      </w:r>
    </w:p>
    <w:p>
      <w:pPr>
        <w:spacing w:line="600" w:lineRule="exact"/>
        <w:ind w:firstLine="600" w:firstLineChars="200"/>
        <w:jc w:val="left"/>
        <w:outlineLvl w:val="0"/>
        <w:rPr>
          <w:rFonts w:hint="eastAsia" w:ascii="Times New Roman" w:hAnsi="Times New Roman" w:eastAsia="黑体"/>
          <w:kern w:val="0"/>
          <w:sz w:val="30"/>
          <w:szCs w:val="30"/>
        </w:rPr>
      </w:pPr>
      <w:r>
        <w:rPr>
          <w:rFonts w:hint="eastAsia" w:ascii="Times New Roman" w:hAnsi="Times New Roman" w:eastAsia="黑体"/>
          <w:kern w:val="0"/>
          <w:sz w:val="30"/>
          <w:szCs w:val="30"/>
        </w:rPr>
        <w:t>五、培训考核</w:t>
      </w:r>
    </w:p>
    <w:p>
      <w:pPr>
        <w:spacing w:after="156" w:afterLines="50" w:line="56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为确保培训质量和培训效果，本次培训从过程性与终结性两个维度对学员进行考核，完成培训考核要求且在线考试合格的参训学员方可在线打印学时证明，所学学时计入干部教育培训学时。</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0"/>
        <w:gridCol w:w="6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0" w:type="dxa"/>
            <w:noWrap w:val="0"/>
            <w:vAlign w:val="center"/>
          </w:tcPr>
          <w:p>
            <w:pPr>
              <w:spacing w:line="400" w:lineRule="exact"/>
              <w:contextualSpacing/>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考核方式</w:t>
            </w:r>
          </w:p>
        </w:tc>
        <w:tc>
          <w:tcPr>
            <w:tcW w:w="6325" w:type="dxa"/>
            <w:noWrap w:val="0"/>
            <w:vAlign w:val="center"/>
          </w:tcPr>
          <w:p>
            <w:pPr>
              <w:spacing w:line="400" w:lineRule="exact"/>
              <w:contextualSpacing/>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考核标准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990" w:type="dxa"/>
            <w:vMerge w:val="restart"/>
            <w:noWrap w:val="0"/>
            <w:vAlign w:val="center"/>
          </w:tcPr>
          <w:p>
            <w:pPr>
              <w:spacing w:line="400" w:lineRule="exact"/>
              <w:contextualSpacing/>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过程考核</w:t>
            </w:r>
          </w:p>
        </w:tc>
        <w:tc>
          <w:tcPr>
            <w:tcW w:w="6325" w:type="dxa"/>
            <w:noWrap w:val="0"/>
            <w:vAlign w:val="center"/>
          </w:tcPr>
          <w:p>
            <w:pPr>
              <w:spacing w:line="400" w:lineRule="exact"/>
              <w:contextualSpacing/>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自主选学不少于</w:t>
            </w: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0学时的网络课程。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990" w:type="dxa"/>
            <w:vMerge w:val="continue"/>
            <w:noWrap w:val="0"/>
            <w:vAlign w:val="center"/>
          </w:tcPr>
          <w:p>
            <w:pPr>
              <w:spacing w:line="400" w:lineRule="exact"/>
              <w:contextualSpacing/>
              <w:jc w:val="center"/>
              <w:rPr>
                <w:rFonts w:hint="eastAsia" w:ascii="Times New Roman" w:hAnsi="Times New Roman" w:eastAsia="仿宋_GB2312" w:cs="Times New Roman"/>
                <w:sz w:val="24"/>
                <w:szCs w:val="24"/>
              </w:rPr>
            </w:pPr>
          </w:p>
        </w:tc>
        <w:tc>
          <w:tcPr>
            <w:tcW w:w="6325" w:type="dxa"/>
            <w:noWrap w:val="0"/>
            <w:vAlign w:val="center"/>
          </w:tcPr>
          <w:p>
            <w:pPr>
              <w:snapToGrid w:val="0"/>
              <w:spacing w:line="400" w:lineRule="exact"/>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参与班级研讨不少于2次。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990" w:type="dxa"/>
            <w:vMerge w:val="continue"/>
            <w:noWrap w:val="0"/>
            <w:vAlign w:val="center"/>
          </w:tcPr>
          <w:p>
            <w:pPr>
              <w:spacing w:line="400" w:lineRule="exact"/>
              <w:contextualSpacing/>
              <w:jc w:val="center"/>
              <w:rPr>
                <w:rFonts w:hint="eastAsia" w:ascii="Times New Roman" w:hAnsi="Times New Roman" w:eastAsia="仿宋_GB2312" w:cs="Times New Roman"/>
                <w:sz w:val="24"/>
                <w:szCs w:val="24"/>
              </w:rPr>
            </w:pPr>
          </w:p>
        </w:tc>
        <w:tc>
          <w:tcPr>
            <w:tcW w:w="6325" w:type="dxa"/>
            <w:noWrap w:val="0"/>
            <w:vAlign w:val="center"/>
          </w:tcPr>
          <w:p>
            <w:pPr>
              <w:snapToGrid w:val="0"/>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撰写一篇不少于</w:t>
            </w:r>
            <w:r>
              <w:rPr>
                <w:rFonts w:ascii="Times New Roman" w:hAnsi="Times New Roman" w:eastAsia="仿宋_GB2312" w:cs="Times New Roman"/>
                <w:sz w:val="24"/>
                <w:szCs w:val="24"/>
              </w:rPr>
              <w:t>10</w:t>
            </w:r>
            <w:r>
              <w:rPr>
                <w:rFonts w:hint="eastAsia" w:ascii="Times New Roman" w:hAnsi="Times New Roman" w:eastAsia="仿宋_GB2312" w:cs="Times New Roman"/>
                <w:sz w:val="24"/>
                <w:szCs w:val="24"/>
              </w:rPr>
              <w:t>00字的研修心得，要求:思想性强、主题鲜明、条理清晰、结构完整、逻辑严谨、内容详实，如发现抄袭等情况不予结业。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990" w:type="dxa"/>
            <w:noWrap w:val="0"/>
            <w:vAlign w:val="center"/>
          </w:tcPr>
          <w:p>
            <w:pPr>
              <w:spacing w:line="400" w:lineRule="exact"/>
              <w:contextualSpacing/>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结业考核</w:t>
            </w:r>
          </w:p>
        </w:tc>
        <w:tc>
          <w:tcPr>
            <w:tcW w:w="6325" w:type="dxa"/>
            <w:noWrap w:val="0"/>
            <w:vAlign w:val="center"/>
          </w:tcPr>
          <w:p>
            <w:pPr>
              <w:spacing w:line="400" w:lineRule="exact"/>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参加在线考试（总分为100分），</w:t>
            </w:r>
            <w:r>
              <w:rPr>
                <w:rFonts w:ascii="Times New Roman" w:hAnsi="Times New Roman" w:eastAsia="仿宋_GB2312" w:cs="Times New Roman"/>
                <w:sz w:val="24"/>
                <w:szCs w:val="24"/>
              </w:rPr>
              <w:t>75</w:t>
            </w:r>
            <w:r>
              <w:rPr>
                <w:rFonts w:hint="eastAsia" w:ascii="Times New Roman" w:hAnsi="Times New Roman" w:eastAsia="仿宋_GB2312" w:cs="Times New Roman"/>
                <w:sz w:val="24"/>
                <w:szCs w:val="24"/>
              </w:rPr>
              <w:t>分及以上为合格，考试时间为90分钟。</w:t>
            </w:r>
          </w:p>
        </w:tc>
      </w:tr>
    </w:tbl>
    <w:p>
      <w:pPr>
        <w:spacing w:line="600" w:lineRule="exact"/>
        <w:ind w:firstLine="600" w:firstLineChars="200"/>
        <w:jc w:val="left"/>
        <w:rPr>
          <w:rFonts w:hint="eastAsia" w:ascii="Times New Roman" w:hAnsi="Times New Roman" w:eastAsia="黑体" w:cs="Times New Roman"/>
          <w:kern w:val="0"/>
          <w:sz w:val="30"/>
          <w:szCs w:val="30"/>
        </w:rPr>
      </w:pPr>
      <w:r>
        <w:rPr>
          <w:rFonts w:hint="eastAsia" w:ascii="Times New Roman" w:hAnsi="Times New Roman" w:eastAsia="黑体"/>
          <w:kern w:val="0"/>
          <w:sz w:val="30"/>
          <w:szCs w:val="30"/>
        </w:rPr>
        <w:t>六、培训总结与评估</w:t>
      </w:r>
    </w:p>
    <w:p>
      <w:pPr>
        <w:spacing w:line="600" w:lineRule="exact"/>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培训结束后，大学生网络党校将收集整理各地培训简报、培训总结，组织相关专家和学员对培训工作和满意度进行评估，包括需求适配度、内容设计科学性、师资选配合理性、组织有序性等，进一步总结培训管理经验，为今后培训工作的开展奠定基础。</w:t>
      </w:r>
    </w:p>
    <w:p>
      <w:pPr>
        <w:spacing w:line="600" w:lineRule="exact"/>
        <w:ind w:firstLine="600" w:firstLineChars="200"/>
        <w:jc w:val="left"/>
        <w:outlineLvl w:val="0"/>
        <w:rPr>
          <w:rFonts w:ascii="Times New Roman" w:hAnsi="Times New Roman" w:eastAsia="黑体"/>
          <w:kern w:val="0"/>
          <w:sz w:val="30"/>
          <w:szCs w:val="30"/>
        </w:rPr>
      </w:pPr>
    </w:p>
    <w:p>
      <w:pPr>
        <w:spacing w:line="600" w:lineRule="exact"/>
        <w:ind w:firstLine="600" w:firstLineChars="200"/>
        <w:jc w:val="left"/>
        <w:outlineLvl w:val="0"/>
        <w:rPr>
          <w:rFonts w:hint="eastAsia" w:ascii="Times New Roman" w:hAnsi="Times New Roman" w:eastAsia="黑体"/>
          <w:kern w:val="0"/>
          <w:sz w:val="30"/>
          <w:szCs w:val="30"/>
        </w:rPr>
      </w:pPr>
      <w:r>
        <w:rPr>
          <w:rFonts w:hint="eastAsia" w:ascii="Times New Roman" w:hAnsi="Times New Roman" w:eastAsia="黑体"/>
          <w:kern w:val="0"/>
          <w:sz w:val="30"/>
          <w:szCs w:val="30"/>
        </w:rPr>
        <w:t>七、组织管理与保障</w:t>
      </w:r>
    </w:p>
    <w:p>
      <w:pPr>
        <w:spacing w:line="600" w:lineRule="exact"/>
        <w:ind w:firstLine="600" w:firstLineChars="200"/>
        <w:rPr>
          <w:rFonts w:hint="eastAsia" w:ascii="Times New Roman" w:hAnsi="Times New Roman" w:eastAsia="仿宋_GB2312" w:cs="Times New Roman"/>
          <w:sz w:val="30"/>
          <w:szCs w:val="30"/>
          <w:u w:val="none" w:color="000000"/>
          <w:lang w:val="zh-TW"/>
        </w:rPr>
      </w:pPr>
      <w:r>
        <w:rPr>
          <w:rFonts w:hint="eastAsia" w:ascii="Times New Roman" w:hAnsi="Times New Roman" w:eastAsia="仿宋_GB2312" w:cs="Times New Roman"/>
          <w:sz w:val="30"/>
          <w:szCs w:val="30"/>
        </w:rPr>
        <w:t xml:space="preserve">1. </w:t>
      </w:r>
      <w:r>
        <w:rPr>
          <w:rFonts w:hint="eastAsia" w:ascii="Times New Roman" w:hAnsi="Times New Roman" w:eastAsia="仿宋_GB2312" w:cs="Times New Roman"/>
          <w:sz w:val="30"/>
          <w:szCs w:val="30"/>
          <w:lang w:val="zh-TW"/>
        </w:rPr>
        <w:t>本次培训由教育部思想政治工作司负责统筹规划与指导，委托国家教育行政学院组织实施。</w:t>
      </w:r>
      <w:r>
        <w:rPr>
          <w:rFonts w:hint="eastAsia" w:ascii="Times New Roman" w:hAnsi="Times New Roman" w:eastAsia="仿宋_GB2312" w:cs="Times New Roman"/>
          <w:sz w:val="30"/>
          <w:szCs w:val="30"/>
        </w:rPr>
        <w:t>国家教育行政学院成立专项工作组，负责培训方案的设计与具体实施工作。</w:t>
      </w:r>
      <w:r>
        <w:rPr>
          <w:rFonts w:hint="eastAsia" w:ascii="Times New Roman" w:hAnsi="Times New Roman" w:eastAsia="仿宋_GB2312" w:cs="Times New Roman"/>
          <w:sz w:val="30"/>
          <w:szCs w:val="30"/>
          <w:u w:val="none" w:color="000000"/>
          <w:lang w:val="zh-TW" w:eastAsia="zh-TW"/>
        </w:rPr>
        <w:t>各地党委教育工作部门和</w:t>
      </w:r>
      <w:r>
        <w:rPr>
          <w:rFonts w:hint="eastAsia" w:ascii="Times New Roman" w:hAnsi="Times New Roman" w:eastAsia="仿宋_GB2312" w:cs="Times New Roman"/>
          <w:sz w:val="30"/>
          <w:szCs w:val="30"/>
          <w:u w:val="none" w:color="000000"/>
          <w:lang w:val="zh-TW"/>
        </w:rPr>
        <w:t>各</w:t>
      </w:r>
      <w:r>
        <w:rPr>
          <w:rFonts w:hint="eastAsia" w:ascii="Times New Roman" w:hAnsi="Times New Roman" w:eastAsia="仿宋_GB2312" w:cs="Times New Roman"/>
          <w:sz w:val="30"/>
          <w:szCs w:val="30"/>
          <w:u w:val="none" w:color="000000"/>
          <w:lang w:val="zh-TW" w:eastAsia="zh-TW"/>
        </w:rPr>
        <w:t>高校</w:t>
      </w:r>
      <w:r>
        <w:rPr>
          <w:rFonts w:hint="eastAsia" w:ascii="Times New Roman" w:hAnsi="Times New Roman" w:eastAsia="仿宋_GB2312" w:cs="Times New Roman"/>
          <w:sz w:val="30"/>
          <w:szCs w:val="30"/>
          <w:u w:val="none" w:color="000000"/>
          <w:lang w:val="zh-TW"/>
        </w:rPr>
        <w:t>党委</w:t>
      </w:r>
      <w:r>
        <w:rPr>
          <w:rFonts w:hint="eastAsia" w:ascii="Times New Roman" w:hAnsi="Times New Roman" w:eastAsia="仿宋_GB2312" w:cs="Times New Roman"/>
          <w:sz w:val="30"/>
          <w:szCs w:val="30"/>
          <w:u w:val="none" w:color="000000"/>
          <w:lang w:val="zh-TW" w:eastAsia="zh-TW"/>
        </w:rPr>
        <w:t>要高度重视</w:t>
      </w:r>
      <w:r>
        <w:rPr>
          <w:rFonts w:hint="eastAsia" w:ascii="Times New Roman" w:hAnsi="Times New Roman" w:eastAsia="仿宋_GB2312" w:cs="Times New Roman"/>
          <w:sz w:val="30"/>
          <w:szCs w:val="30"/>
          <w:u w:val="none" w:color="000000"/>
          <w:lang w:val="zh-TW"/>
        </w:rPr>
        <w:t>，</w:t>
      </w:r>
      <w:r>
        <w:rPr>
          <w:rFonts w:hint="eastAsia" w:ascii="Times New Roman" w:hAnsi="Times New Roman" w:eastAsia="仿宋_GB2312" w:cs="Times New Roman"/>
          <w:sz w:val="30"/>
          <w:szCs w:val="30"/>
          <w:u w:val="none" w:color="000000"/>
          <w:lang w:val="zh-TW" w:eastAsia="zh-TW"/>
        </w:rPr>
        <w:t>统一部署</w:t>
      </w:r>
      <w:r>
        <w:rPr>
          <w:rFonts w:hint="eastAsia" w:ascii="Times New Roman" w:hAnsi="Times New Roman" w:eastAsia="仿宋_GB2312" w:cs="Times New Roman"/>
          <w:sz w:val="30"/>
          <w:szCs w:val="30"/>
          <w:u w:val="none" w:color="000000"/>
          <w:lang w:val="zh-TW"/>
        </w:rPr>
        <w:t>，</w:t>
      </w:r>
      <w:r>
        <w:rPr>
          <w:rFonts w:hint="eastAsia" w:ascii="Times New Roman" w:hAnsi="Times New Roman" w:eastAsia="仿宋_GB2312" w:cs="Times New Roman"/>
          <w:sz w:val="30"/>
          <w:szCs w:val="30"/>
          <w:u w:val="none" w:color="000000"/>
          <w:lang w:val="zh-TW" w:eastAsia="zh-TW"/>
        </w:rPr>
        <w:t>细化要求</w:t>
      </w:r>
      <w:r>
        <w:rPr>
          <w:rFonts w:hint="eastAsia" w:ascii="Times New Roman" w:hAnsi="Times New Roman" w:eastAsia="仿宋_GB2312" w:cs="Times New Roman"/>
          <w:sz w:val="30"/>
          <w:szCs w:val="30"/>
          <w:u w:val="none" w:color="000000"/>
          <w:lang w:val="zh-TW"/>
        </w:rPr>
        <w:t>，力求全员全覆盖。</w:t>
      </w:r>
    </w:p>
    <w:p>
      <w:pPr>
        <w:spacing w:line="60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2. 各地党委教育工作部门根据各校报名实际情况组班，每班人数原则上不多于5</w:t>
      </w:r>
      <w:r>
        <w:rPr>
          <w:rFonts w:ascii="Times New Roman" w:hAnsi="Times New Roman" w:eastAsia="仿宋_GB2312" w:cs="Times New Roman"/>
          <w:sz w:val="30"/>
          <w:szCs w:val="30"/>
        </w:rPr>
        <w:t>0</w:t>
      </w:r>
      <w:r>
        <w:rPr>
          <w:rFonts w:hint="eastAsia" w:ascii="Times New Roman" w:hAnsi="Times New Roman" w:eastAsia="仿宋_GB2312" w:cs="Times New Roman"/>
          <w:sz w:val="30"/>
          <w:szCs w:val="30"/>
        </w:rPr>
        <w:t xml:space="preserve">人，人数较多的高校可以学校为单位组班，人数较少的学校可进行合班，每班设置班级管理员1名。培训负责人、联系人分别由各地各校相关部门负责同志及工作人员担任。主要工作职责见下表：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134"/>
        <w:gridCol w:w="5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blHeader/>
          <w:jc w:val="center"/>
        </w:trPr>
        <w:tc>
          <w:tcPr>
            <w:tcW w:w="1440" w:type="dxa"/>
            <w:noWrap w:val="0"/>
            <w:vAlign w:val="center"/>
          </w:tcPr>
          <w:p>
            <w:pPr>
              <w:spacing w:line="400" w:lineRule="exact"/>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管理人员</w:t>
            </w:r>
          </w:p>
        </w:tc>
        <w:tc>
          <w:tcPr>
            <w:tcW w:w="1134" w:type="dxa"/>
            <w:noWrap w:val="0"/>
            <w:vAlign w:val="center"/>
          </w:tcPr>
          <w:p>
            <w:pPr>
              <w:spacing w:line="400" w:lineRule="exact"/>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数量</w:t>
            </w:r>
          </w:p>
        </w:tc>
        <w:tc>
          <w:tcPr>
            <w:tcW w:w="5776" w:type="dxa"/>
            <w:noWrap w:val="0"/>
            <w:vAlign w:val="center"/>
          </w:tcPr>
          <w:p>
            <w:pPr>
              <w:spacing w:line="400" w:lineRule="exact"/>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主要工作职责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440"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省级负责人</w:t>
            </w:r>
          </w:p>
        </w:tc>
        <w:tc>
          <w:tcPr>
            <w:tcW w:w="1134"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1人</w:t>
            </w:r>
          </w:p>
        </w:tc>
        <w:tc>
          <w:tcPr>
            <w:tcW w:w="5776" w:type="dxa"/>
            <w:noWrap w:val="0"/>
            <w:vAlign w:val="center"/>
          </w:tcPr>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负责对属地高校培训工作的统筹协调和工作指导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440"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省级联系人</w:t>
            </w:r>
          </w:p>
        </w:tc>
        <w:tc>
          <w:tcPr>
            <w:tcW w:w="1134"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1人</w:t>
            </w:r>
          </w:p>
        </w:tc>
        <w:tc>
          <w:tcPr>
            <w:tcW w:w="5776" w:type="dxa"/>
            <w:noWrap w:val="0"/>
            <w:vAlign w:val="center"/>
          </w:tcPr>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 汇总本省学员信息：明确省内高校负责人和联系人，统一汇总省内参训学员名单，以省级行政区域为单位按时提交《培训管理人员回执表》和《参训学员信息表》；</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 发放学习卡：及时准确发放学习卡等启动材料至高校联系人；</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 培训督学促学：加强同省级行政区域内各高校联系人、国家教育行政学院相关老师的沟通，定期发布省级行政区域内学情通报，做好培训督学促学工作，共同保障培训实效；</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 做好培训总结：按要求做好培训总结工作，并以省级行政区域为单位推选优秀研修成果至平台宣传展示（具体要求另文通知）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440"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高校负责人</w:t>
            </w:r>
          </w:p>
        </w:tc>
        <w:tc>
          <w:tcPr>
            <w:tcW w:w="1134"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每校1人</w:t>
            </w:r>
          </w:p>
        </w:tc>
        <w:tc>
          <w:tcPr>
            <w:tcW w:w="5776" w:type="dxa"/>
            <w:noWrap w:val="0"/>
            <w:vAlign w:val="center"/>
          </w:tcPr>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负责所在高校培训工作的统筹协调和工作指导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440"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高校联系人</w:t>
            </w:r>
          </w:p>
        </w:tc>
        <w:tc>
          <w:tcPr>
            <w:tcW w:w="1134"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每校1人</w:t>
            </w:r>
          </w:p>
        </w:tc>
        <w:tc>
          <w:tcPr>
            <w:tcW w:w="5776" w:type="dxa"/>
            <w:noWrap w:val="0"/>
            <w:vAlign w:val="center"/>
          </w:tcPr>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 汇总本校学员信息：以校为单位按时提交《培训管理人员回执表》和《参训学员信息表》；</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 发放学习卡：及时准确下发学习卡等启动材料给本校参训学员，做好学习卡分发记录，督促指导学员注册学习；</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 督学促学：根据国家教育行政学院相关老师发布的学情通报，定期发布本校学员学习情况，督促本校学员按时完成学习任务；</w:t>
            </w:r>
          </w:p>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 沟通协调：加强同国家教育行政学院相关老师的沟通，及时处理学员学习过程中遇到的各类问题，保障学员学习顺利进行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1440"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班级管理员</w:t>
            </w:r>
          </w:p>
        </w:tc>
        <w:tc>
          <w:tcPr>
            <w:tcW w:w="1134" w:type="dxa"/>
            <w:noWrap w:val="0"/>
            <w:vAlign w:val="center"/>
          </w:tcPr>
          <w:p>
            <w:pPr>
              <w:spacing w:line="40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每班1人</w:t>
            </w:r>
          </w:p>
        </w:tc>
        <w:tc>
          <w:tcPr>
            <w:tcW w:w="5776" w:type="dxa"/>
            <w:noWrap w:val="0"/>
            <w:vAlign w:val="center"/>
          </w:tcPr>
          <w:p>
            <w:pPr>
              <w:spacing w:line="400" w:lineRule="exac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协助高校联系人做好班级的组织管理与督学促学工作，确保本班学员按时完成各校学习任务</w:t>
            </w:r>
          </w:p>
        </w:tc>
      </w:tr>
    </w:tbl>
    <w:p>
      <w:pPr>
        <w:spacing w:before="156" w:beforeLines="50" w:line="60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八、咨询联系</w:t>
      </w:r>
    </w:p>
    <w:p>
      <w:pPr>
        <w:spacing w:line="600" w:lineRule="exact"/>
        <w:ind w:firstLine="600" w:firstLineChars="200"/>
        <w:outlineLvl w:val="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国家教育行政学院大学生网络党校</w:t>
      </w:r>
    </w:p>
    <w:p>
      <w:pPr>
        <w:spacing w:line="600" w:lineRule="exact"/>
        <w:ind w:firstLine="600" w:firstLineChars="200"/>
        <w:outlineLvl w:val="0"/>
        <w:rPr>
          <w:rFonts w:hint="eastAsia" w:ascii="Times New Roman" w:hAnsi="Times New Roman" w:eastAsia="仿宋_GB2312" w:cs="Times New Roman"/>
          <w:sz w:val="30"/>
          <w:szCs w:val="30"/>
          <w:u w:val="none" w:color="000000"/>
          <w:lang w:val="zh-TW" w:eastAsia="zh-TW"/>
        </w:rPr>
      </w:pPr>
      <w:r>
        <w:rPr>
          <w:rFonts w:hint="eastAsia" w:ascii="Times New Roman" w:hAnsi="Times New Roman" w:eastAsia="仿宋_GB2312" w:cs="Times New Roman"/>
          <w:sz w:val="30"/>
          <w:szCs w:val="30"/>
        </w:rPr>
        <w:t>报名联系人：</w:t>
      </w:r>
      <w:r>
        <w:rPr>
          <w:rFonts w:hint="eastAsia" w:ascii="Times New Roman" w:hAnsi="Times New Roman" w:eastAsia="仿宋_GB2312" w:cs="Times New Roman"/>
          <w:sz w:val="30"/>
          <w:szCs w:val="30"/>
          <w:u w:val="none" w:color="000000"/>
          <w:lang w:val="zh-TW"/>
        </w:rPr>
        <w:t>张志华、</w:t>
      </w:r>
      <w:r>
        <w:rPr>
          <w:rFonts w:hint="eastAsia" w:ascii="Times New Roman" w:hAnsi="Times New Roman" w:eastAsia="仿宋_GB2312" w:cs="Times New Roman"/>
          <w:sz w:val="30"/>
          <w:szCs w:val="30"/>
          <w:u w:val="none" w:color="000000"/>
          <w:lang w:val="zh-TW" w:eastAsia="zh-TW"/>
        </w:rPr>
        <w:t>卢扬</w:t>
      </w:r>
    </w:p>
    <w:p>
      <w:pPr>
        <w:spacing w:line="600" w:lineRule="exact"/>
        <w:ind w:firstLine="600" w:firstLineChars="200"/>
        <w:outlineLvl w:val="0"/>
        <w:rPr>
          <w:rFonts w:hint="eastAsia" w:ascii="Times New Roman" w:hAnsi="Times New Roman" w:eastAsia="仿宋_GB2312" w:cs="Times New Roman"/>
          <w:sz w:val="30"/>
          <w:szCs w:val="30"/>
          <w:u w:val="none" w:color="000000"/>
          <w:lang w:val="zh-TW" w:eastAsia="zh-TW"/>
        </w:rPr>
      </w:pPr>
      <w:r>
        <w:rPr>
          <w:rFonts w:hint="eastAsia" w:ascii="Times New Roman" w:hAnsi="Times New Roman" w:eastAsia="仿宋_GB2312" w:cs="Times New Roman"/>
          <w:sz w:val="30"/>
          <w:szCs w:val="30"/>
          <w:u w:val="none" w:color="000000"/>
          <w:lang w:val="zh-TW" w:eastAsia="zh-TW"/>
        </w:rPr>
        <w:t>报名咨询电话：</w:t>
      </w:r>
      <w:r>
        <w:rPr>
          <w:rFonts w:hint="eastAsia" w:ascii="Times New Roman" w:hAnsi="Times New Roman" w:eastAsia="仿宋_GB2312" w:cs="Times New Roman"/>
          <w:sz w:val="30"/>
          <w:szCs w:val="30"/>
          <w:u w:val="none" w:color="000000"/>
          <w:lang w:eastAsia="zh-TW"/>
        </w:rPr>
        <w:t>010-69205993、60217851</w:t>
      </w:r>
    </w:p>
    <w:p>
      <w:pPr>
        <w:pStyle w:val="4"/>
        <w:tabs>
          <w:tab w:val="left" w:pos="3119"/>
        </w:tabs>
        <w:spacing w:line="600" w:lineRule="exact"/>
        <w:ind w:firstLine="600" w:firstLineChars="200"/>
        <w:outlineLvl w:val="0"/>
        <w:rPr>
          <w:rFonts w:hint="eastAsia" w:eastAsia="仿宋_GB2312" w:cs="仿宋_GB2312"/>
          <w:sz w:val="30"/>
          <w:szCs w:val="30"/>
          <w:lang w:val="zh-TW" w:eastAsia="zh-TW"/>
        </w:rPr>
      </w:pPr>
      <w:r>
        <w:rPr>
          <w:rFonts w:hint="eastAsia" w:eastAsia="仿宋_GB2312" w:cs="仿宋_GB2312"/>
          <w:sz w:val="30"/>
          <w:szCs w:val="30"/>
          <w:lang w:val="zh-TW" w:eastAsia="zh-TW"/>
        </w:rPr>
        <w:t>报名邮箱</w:t>
      </w:r>
      <w:r>
        <w:rPr>
          <w:rFonts w:hint="eastAsia" w:eastAsia="仿宋_GB2312" w:cs="Times New Roman"/>
          <w:sz w:val="30"/>
          <w:szCs w:val="30"/>
          <w:lang w:eastAsia="zh-TW"/>
        </w:rPr>
        <w:t>：uucps@naea.edu.cn</w:t>
      </w:r>
    </w:p>
    <w:p>
      <w:pPr>
        <w:spacing w:line="600" w:lineRule="exact"/>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学员服务电话：4008119908</w:t>
      </w:r>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913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/xig一叶编舟</cp:lastModifiedBy>
  <dcterms:modified xsi:type="dcterms:W3CDTF">2019-10-22T06:05:35Z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2052-11.1.0.9137</vt:lpwstr>
  </property>
</Properties>
</file>