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napToGrid w:val="0"/>
        <w:spacing w:line="240" w:lineRule="auto"/>
        <w:ind w:firstLine="0" w:firstLineChars="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附件2</w:t>
      </w:r>
    </w:p>
    <w:p>
      <w:pPr>
        <w:spacing w:after="156" w:afterLines="50" w:line="480" w:lineRule="atLeast"/>
        <w:ind w:firstLine="22" w:firstLineChars="7"/>
        <w:jc w:val="center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黑体"/>
          <w:color w:val="000000"/>
          <w:sz w:val="32"/>
          <w:szCs w:val="32"/>
        </w:rPr>
        <w:t>网络培训选修课程列表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3"/>
        <w:gridCol w:w="2970"/>
        <w:gridCol w:w="1017"/>
        <w:gridCol w:w="3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  <w:szCs w:val="24"/>
              </w:rPr>
              <w:t>课程</w:t>
            </w:r>
          </w:p>
          <w:p>
            <w:pPr>
              <w:widowControl w:val="0"/>
              <w:jc w:val="center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  <w:szCs w:val="24"/>
              </w:rPr>
              <w:t>模块</w:t>
            </w:r>
          </w:p>
        </w:tc>
        <w:tc>
          <w:tcPr>
            <w:tcW w:w="2970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  <w:szCs w:val="24"/>
              </w:rPr>
              <w:t>课程名称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  <w:szCs w:val="24"/>
              </w:rPr>
              <w:t>主讲人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jc w:val="center"/>
              <w:rPr>
                <w:rFonts w:ascii="Times New Roman" w:hAnsi="Times New Roman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b/>
                <w:bCs/>
                <w:color w:val="000000"/>
                <w:sz w:val="24"/>
                <w:szCs w:val="24"/>
              </w:rPr>
              <w:t>职务职称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道德修养与</w:t>
            </w:r>
          </w:p>
          <w:p>
            <w:pPr>
              <w:widowControl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法律基础</w:t>
            </w: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法律基础知识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王俊伟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辽宁华昊律师事务所合伙人律师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433" w:type="dxa"/>
            <w:vMerge w:val="continue"/>
          </w:tcPr>
          <w:p>
            <w:pPr>
              <w:widowControl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让道德滋养法治精神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李建华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湖南城市学院党委书记、中南大学公共管理学院名誉</w:t>
            </w:r>
          </w:p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</w:tcPr>
          <w:p>
            <w:pPr>
              <w:widowControl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道德力与社会进步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王小锡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南京师范大学马克思主义研究院院长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</w:tcPr>
          <w:p>
            <w:pPr>
              <w:widowControl w:val="0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中华文化自信——明礼</w:t>
            </w:r>
          </w:p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守法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曾仕强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全球华人中国式管理第一人、台湾师范大学教授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学习方法与</w:t>
            </w:r>
          </w:p>
          <w:p>
            <w:pPr>
              <w:widowControl w:val="0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科研能力</w:t>
            </w: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科研论文的撰写与创新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褚福磊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清华大学机械工程学院教授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大学生自我管理与生涯</w:t>
            </w:r>
          </w:p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发展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庄明科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北京大学学生心理健康教育与咨询中心副主任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</w:tcPr>
          <w:p>
            <w:pPr>
              <w:widowControl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当代大学生成才的路径与方法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刘俊彦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中国青少年研究中心常务副主任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职业规划与就业指导</w:t>
            </w: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毕业季到来，什么样的应届生求职时最受欢迎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韩  民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中国教育发展战略学会常务副会长兼秘书长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</w:tcPr>
          <w:p>
            <w:pPr>
              <w:widowControl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毕业生如何进行职业抉择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周晓凡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北京人力资源服务行业协会副会长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33" w:type="dxa"/>
            <w:vMerge w:val="continue"/>
          </w:tcPr>
          <w:p>
            <w:pPr>
              <w:widowControl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创业维艰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杨  歌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星瀚资本创始合伙人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</w:tcPr>
          <w:p>
            <w:pPr>
              <w:widowControl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给毕业生支招：做能到森林捕食的鸟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储朝晖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中国教育科学院研究院研究员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人际交往与</w:t>
            </w:r>
          </w:p>
          <w:p>
            <w:pPr>
              <w:widowControl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礼仪沟通</w:t>
            </w: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沟通与说服的艺术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郑日昌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北京师范大学心理学院教授、博士生导师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礼仪与沟通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李兴国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中共中央党校（国家行政学院）教授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上下级沟通礼仪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韩晓洁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中央广播电视大学特聘商务礼仪讲师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心理健康与</w:t>
            </w:r>
          </w:p>
          <w:p>
            <w:pPr>
              <w:widowControl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压力管理</w:t>
            </w: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大学生心理健康的自我</w:t>
            </w:r>
          </w:p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维护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赵丽琴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北京工业大学人文学院社会工作系系主任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</w:tcPr>
          <w:p>
            <w:pPr>
              <w:widowControl w:val="0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职业焦虑与心理调适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胡月星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中共中央党校（国家行政学院）教授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33" w:type="dxa"/>
            <w:vMerge w:val="continue"/>
          </w:tcPr>
          <w:p>
            <w:pPr>
              <w:widowControl w:val="0"/>
              <w:rPr>
                <w:rFonts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70" w:type="dxa"/>
            <w:vAlign w:val="center"/>
          </w:tcPr>
          <w:p>
            <w:pPr>
              <w:widowControl w:val="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压力管理与心理健康促进</w:t>
            </w:r>
          </w:p>
        </w:tc>
        <w:tc>
          <w:tcPr>
            <w:tcW w:w="1017" w:type="dxa"/>
            <w:vAlign w:val="center"/>
          </w:tcPr>
          <w:p>
            <w:pPr>
              <w:widowControl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樊富珉</w:t>
            </w:r>
          </w:p>
        </w:tc>
        <w:tc>
          <w:tcPr>
            <w:tcW w:w="3102" w:type="dxa"/>
            <w:vAlign w:val="center"/>
          </w:tcPr>
          <w:p>
            <w:pPr>
              <w:widowControl w:val="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清华大学社会科学学院心理学系副主任、教授</w:t>
            </w:r>
          </w:p>
        </w:tc>
      </w:tr>
    </w:tbl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" w:leftChars="-87" w:right="-57" w:rightChars="-27" w:hanging="182" w:hangingChars="76"/>
        <w:textAlignment w:val="baseline"/>
        <w:rPr>
          <w:rFonts w:ascii="楷体" w:hAnsi="楷体" w:eastAsia="楷体" w:cs="仿宋"/>
          <w:color w:val="auto"/>
        </w:rPr>
      </w:pPr>
      <w:r>
        <w:rPr>
          <w:rFonts w:ascii="楷体" w:hAnsi="楷体" w:eastAsia="楷体" w:cs="仿宋"/>
          <w:color w:val="auto"/>
        </w:rPr>
        <w:t>说明</w:t>
      </w:r>
      <w:r>
        <w:rPr>
          <w:rFonts w:hint="eastAsia" w:ascii="楷体" w:hAnsi="楷体" w:eastAsia="楷体" w:cs="仿宋"/>
          <w:color w:val="auto"/>
        </w:rPr>
        <w:t>：</w:t>
      </w:r>
      <w:r>
        <w:rPr>
          <w:rFonts w:ascii="Times New Roman" w:hAnsi="Times New Roman" w:eastAsia="楷体"/>
          <w:color w:val="auto"/>
        </w:rPr>
        <w:t>1</w:t>
      </w:r>
      <w:r>
        <w:rPr>
          <w:rFonts w:hint="eastAsia" w:ascii="Times New Roman" w:hAnsi="Times New Roman" w:eastAsia="楷体"/>
          <w:color w:val="auto"/>
          <w:lang w:val="en-US" w:eastAsia="zh-CN"/>
        </w:rPr>
        <w:t>.</w:t>
      </w:r>
      <w:r>
        <w:rPr>
          <w:rFonts w:hint="eastAsia" w:ascii="楷体" w:hAnsi="楷体" w:eastAsia="楷体" w:cs="仿宋"/>
          <w:color w:val="auto"/>
        </w:rPr>
        <w:t>个别课程或稍有调整，请以平台最终发布课程为准；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283" w:leftChars="135" w:right="-57" w:rightChars="-27" w:firstLine="240" w:firstLineChars="100"/>
        <w:textAlignment w:val="baseline"/>
        <w:rPr>
          <w:rFonts w:ascii="楷体" w:hAnsi="楷体" w:eastAsia="楷体" w:cs="仿宋"/>
          <w:color w:val="auto"/>
        </w:rPr>
      </w:pPr>
      <w:r>
        <w:rPr>
          <w:rFonts w:ascii="Times New Roman" w:hAnsi="Times New Roman" w:eastAsia="楷体"/>
          <w:color w:val="auto"/>
        </w:rPr>
        <w:t>2.</w:t>
      </w:r>
      <w:r>
        <w:rPr>
          <w:rFonts w:ascii="楷体" w:hAnsi="楷体" w:eastAsia="楷体" w:cs="仿宋"/>
          <w:color w:val="auto"/>
        </w:rPr>
        <w:t>课程主讲人职务为课程录制时的职务</w:t>
      </w:r>
      <w:r>
        <w:rPr>
          <w:rFonts w:hint="eastAsia" w:ascii="楷体" w:hAnsi="楷体" w:eastAsia="楷体" w:cs="仿宋"/>
          <w:color w:val="auto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E701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32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6">
    <w:name w:val="00正文"/>
    <w:basedOn w:val="1"/>
    <w:qFormat/>
    <w:uiPriority w:val="0"/>
    <w:pPr>
      <w:spacing w:line="360" w:lineRule="auto"/>
      <w:ind w:firstLine="480" w:firstLineChars="200"/>
      <w:textAlignment w:val="baseline"/>
    </w:pPr>
    <w:rPr>
      <w:rFonts w:ascii="仿宋_GB2312" w:hAnsi="宋体" w:eastAsia="仿宋_GB2312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2019-09-20T07:45:31Z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